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8744A" w14:textId="4AB56F7E" w:rsidR="00BF6967" w:rsidRPr="005529BB" w:rsidRDefault="00BF6967" w:rsidP="00BF6967">
      <w:pPr>
        <w:pStyle w:val="3Policytitle"/>
        <w:jc w:val="center"/>
        <w:rPr>
          <w:rFonts w:ascii="Calibri" w:hAnsi="Calibri" w:cs="Calibri"/>
          <w:sz w:val="74"/>
        </w:rPr>
      </w:pPr>
      <w:r>
        <w:rPr>
          <w:rFonts w:ascii="Calibri" w:hAnsi="Calibri" w:cs="Calibri"/>
          <w:sz w:val="74"/>
        </w:rPr>
        <w:t>PSHE and SMSC</w:t>
      </w:r>
      <w:r w:rsidRPr="005529BB">
        <w:rPr>
          <w:rFonts w:ascii="Calibri" w:hAnsi="Calibri" w:cs="Calibri"/>
          <w:sz w:val="74"/>
        </w:rPr>
        <w:t xml:space="preserve"> Policy</w:t>
      </w:r>
    </w:p>
    <w:p w14:paraId="066223B6" w14:textId="2D830D7D" w:rsidR="00BF6967" w:rsidRDefault="00BF6967" w:rsidP="00BF6967">
      <w:pPr>
        <w:pStyle w:val="3Policytitle"/>
        <w:jc w:val="center"/>
        <w:rPr>
          <w:rFonts w:ascii="Calibri" w:hAnsi="Calibri" w:cs="Calibri"/>
          <w:sz w:val="74"/>
        </w:rPr>
      </w:pPr>
      <w:r w:rsidRPr="005529BB">
        <w:rPr>
          <w:rFonts w:ascii="Calibri" w:hAnsi="Calibri" w:cs="Calibri"/>
          <w:sz w:val="74"/>
        </w:rPr>
        <w:t>The Bridge Education Centre</w:t>
      </w:r>
    </w:p>
    <w:p w14:paraId="17A950A6" w14:textId="77777777" w:rsidR="00BF6967" w:rsidRPr="005529BB" w:rsidRDefault="00BF6967" w:rsidP="00BF6967">
      <w:pPr>
        <w:pStyle w:val="3Policytitle"/>
        <w:jc w:val="center"/>
        <w:rPr>
          <w:rFonts w:ascii="Calibri" w:hAnsi="Calibri" w:cs="Calibri"/>
          <w:sz w:val="74"/>
        </w:rPr>
      </w:pPr>
    </w:p>
    <w:p w14:paraId="7E00B503" w14:textId="77777777" w:rsidR="00BF6967" w:rsidRPr="001118BF" w:rsidRDefault="00BF6967" w:rsidP="00BF6967">
      <w:pPr>
        <w:pStyle w:val="1bodycopy10pt"/>
      </w:pPr>
    </w:p>
    <w:p w14:paraId="7C2D2142" w14:textId="77777777" w:rsidR="00BF6967" w:rsidRDefault="00BF6967" w:rsidP="00BF6967">
      <w:pPr>
        <w:pStyle w:val="1bodycopy10pt"/>
        <w:rPr>
          <w:noProof/>
          <w:color w:val="00CF80"/>
          <w:szCs w:val="20"/>
        </w:rPr>
      </w:pPr>
    </w:p>
    <w:p w14:paraId="6A61D3D7" w14:textId="7E1C52BF" w:rsidR="00BF6967" w:rsidRDefault="00BF6967" w:rsidP="00BF6967">
      <w:pPr>
        <w:pStyle w:val="1bodycopy10pt"/>
      </w:pPr>
      <w:r w:rsidRPr="004D1AE6">
        <w:rPr>
          <w:rFonts w:ascii="Calibri" w:hAnsi="Calibri" w:cs="Calibri"/>
          <w:noProof/>
          <w:sz w:val="60"/>
          <w:lang w:val="en-GB" w:eastAsia="en-GB"/>
        </w:rPr>
        <w:drawing>
          <wp:anchor distT="0" distB="0" distL="114300" distR="114300" simplePos="0" relativeHeight="251661312" behindDoc="0" locked="0" layoutInCell="1" allowOverlap="1" wp14:anchorId="41D2E783" wp14:editId="496F1834">
            <wp:simplePos x="0" y="0"/>
            <wp:positionH relativeFrom="margin">
              <wp:posOffset>1433830</wp:posOffset>
            </wp:positionH>
            <wp:positionV relativeFrom="paragraph">
              <wp:posOffset>30805</wp:posOffset>
            </wp:positionV>
            <wp:extent cx="3341370" cy="33997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l="45590" t="10130" r="11304" b="11859"/>
                    <a:stretch>
                      <a:fillRect/>
                    </a:stretch>
                  </pic:blipFill>
                  <pic:spPr bwMode="auto">
                    <a:xfrm>
                      <a:off x="0" y="0"/>
                      <a:ext cx="3341370" cy="3399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08CA7A" w14:textId="4B00F0A2" w:rsidR="00BF6967" w:rsidRDefault="00BF6967" w:rsidP="00BF6967">
      <w:pPr>
        <w:pStyle w:val="1bodycopy10pt"/>
      </w:pPr>
    </w:p>
    <w:p w14:paraId="5A4C8F53" w14:textId="77777777" w:rsidR="00BF6967" w:rsidRDefault="00BF6967" w:rsidP="00BF6967">
      <w:pPr>
        <w:pStyle w:val="1bodycopy10pt"/>
      </w:pPr>
    </w:p>
    <w:p w14:paraId="4623374C" w14:textId="77777777" w:rsidR="00BF6967" w:rsidRDefault="00BF6967" w:rsidP="00BF6967">
      <w:pPr>
        <w:pStyle w:val="1bodycopy10pt"/>
      </w:pPr>
    </w:p>
    <w:p w14:paraId="500D37C6" w14:textId="77777777" w:rsidR="00BF6967" w:rsidRDefault="00BF6967" w:rsidP="00BF6967">
      <w:pPr>
        <w:pStyle w:val="1bodycopy10pt"/>
      </w:pPr>
    </w:p>
    <w:p w14:paraId="2621869D" w14:textId="77777777" w:rsidR="00BF6967" w:rsidRDefault="00BF6967" w:rsidP="00BF6967">
      <w:pPr>
        <w:pStyle w:val="1bodycopy10pt"/>
      </w:pPr>
    </w:p>
    <w:p w14:paraId="6F360D26" w14:textId="77777777" w:rsidR="00BF6967" w:rsidRDefault="00BF6967" w:rsidP="00BF6967">
      <w:pPr>
        <w:pStyle w:val="1bodycopy10pt"/>
      </w:pPr>
    </w:p>
    <w:p w14:paraId="07A35C06" w14:textId="77777777" w:rsidR="00BF6967" w:rsidRDefault="00BF6967" w:rsidP="00BF6967">
      <w:pPr>
        <w:pStyle w:val="1bodycopy10pt"/>
      </w:pPr>
    </w:p>
    <w:p w14:paraId="210E1757" w14:textId="77777777" w:rsidR="00BF6967" w:rsidRDefault="00BF6967" w:rsidP="00BF6967">
      <w:pPr>
        <w:pStyle w:val="1bodycopy10pt"/>
      </w:pPr>
    </w:p>
    <w:p w14:paraId="34A2312F" w14:textId="77777777" w:rsidR="00BF6967" w:rsidRDefault="00BF6967" w:rsidP="00BF6967">
      <w:pPr>
        <w:pStyle w:val="1bodycopy10pt"/>
      </w:pPr>
    </w:p>
    <w:p w14:paraId="4D45A3FA" w14:textId="77777777" w:rsidR="00BF6967" w:rsidRDefault="00BF6967" w:rsidP="00BF6967">
      <w:pPr>
        <w:pStyle w:val="1bodycopy10pt"/>
      </w:pPr>
    </w:p>
    <w:p w14:paraId="03B087BD" w14:textId="77777777" w:rsidR="00BF6967" w:rsidRDefault="00BF6967" w:rsidP="00BF6967">
      <w:pPr>
        <w:pStyle w:val="1bodycopy10pt"/>
      </w:pPr>
    </w:p>
    <w:p w14:paraId="26540FF0" w14:textId="77777777" w:rsidR="00BF6967" w:rsidRDefault="00BF6967" w:rsidP="00BF6967">
      <w:pPr>
        <w:pStyle w:val="1bodycopy10pt"/>
      </w:pPr>
    </w:p>
    <w:p w14:paraId="01F43F76" w14:textId="77777777" w:rsidR="00BF6967" w:rsidRDefault="00BF6967" w:rsidP="00BF6967">
      <w:pPr>
        <w:pStyle w:val="1bodycopy10pt"/>
      </w:pPr>
    </w:p>
    <w:p w14:paraId="12333A1B" w14:textId="77777777" w:rsidR="00BF6967" w:rsidRDefault="00BF6967" w:rsidP="00BF6967">
      <w:pPr>
        <w:pStyle w:val="1bodycopy10pt"/>
      </w:pPr>
    </w:p>
    <w:p w14:paraId="5248E60B" w14:textId="77777777" w:rsidR="00BF6967" w:rsidRDefault="00BF6967" w:rsidP="00BF6967">
      <w:pPr>
        <w:pStyle w:val="1bodycopy10pt"/>
      </w:pPr>
    </w:p>
    <w:p w14:paraId="51AE025F" w14:textId="77777777" w:rsidR="00BF6967" w:rsidRDefault="00BF6967" w:rsidP="00BF6967">
      <w:pPr>
        <w:pStyle w:val="1bodycopy10pt"/>
      </w:pPr>
    </w:p>
    <w:p w14:paraId="1B9DD034" w14:textId="77777777" w:rsidR="00BF6967" w:rsidRDefault="00BF6967" w:rsidP="00BF6967">
      <w:pPr>
        <w:pStyle w:val="1bodycopy10pt"/>
      </w:pPr>
    </w:p>
    <w:p w14:paraId="169DFCF5" w14:textId="58779EE6" w:rsidR="00BF6967" w:rsidRDefault="00BF6967" w:rsidP="00BF6967">
      <w:pPr>
        <w:pStyle w:val="1bodycopy10pt"/>
      </w:pPr>
    </w:p>
    <w:p w14:paraId="45FDEF70" w14:textId="77777777" w:rsidR="00BF6967" w:rsidRDefault="00BF6967" w:rsidP="00BF6967">
      <w:pPr>
        <w:pStyle w:val="1bodycopy10pt"/>
      </w:pPr>
    </w:p>
    <w:p w14:paraId="39D76A83" w14:textId="77777777" w:rsidR="00BF6967" w:rsidRPr="00ED4599" w:rsidRDefault="00BF6967" w:rsidP="00BF6967">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977"/>
        <w:gridCol w:w="2877"/>
        <w:gridCol w:w="3866"/>
      </w:tblGrid>
      <w:tr w:rsidR="00BF6967" w:rsidRPr="00DA50A5" w14:paraId="5788E7AB" w14:textId="77777777" w:rsidTr="008144B3">
        <w:tc>
          <w:tcPr>
            <w:tcW w:w="2977" w:type="dxa"/>
            <w:tcBorders>
              <w:top w:val="nil"/>
              <w:bottom w:val="single" w:sz="18" w:space="0" w:color="FFFFFF"/>
            </w:tcBorders>
            <w:shd w:val="clear" w:color="auto" w:fill="D8DFDE"/>
          </w:tcPr>
          <w:p w14:paraId="181E00BA" w14:textId="77777777" w:rsidR="00BF6967" w:rsidRPr="005529BB" w:rsidRDefault="00BF6967" w:rsidP="008144B3">
            <w:pPr>
              <w:pStyle w:val="1bodycopy10pt"/>
              <w:rPr>
                <w:rFonts w:ascii="Calibri" w:hAnsi="Calibri" w:cs="Calibri"/>
                <w:b/>
                <w:sz w:val="32"/>
              </w:rPr>
            </w:pPr>
            <w:r w:rsidRPr="005529BB">
              <w:rPr>
                <w:rFonts w:ascii="Calibri" w:hAnsi="Calibri" w:cs="Calibri"/>
                <w:b/>
                <w:sz w:val="32"/>
              </w:rPr>
              <w:t>Approved by:</w:t>
            </w:r>
          </w:p>
        </w:tc>
        <w:tc>
          <w:tcPr>
            <w:tcW w:w="2877" w:type="dxa"/>
            <w:tcBorders>
              <w:top w:val="nil"/>
              <w:bottom w:val="single" w:sz="18" w:space="0" w:color="FFFFFF"/>
            </w:tcBorders>
            <w:shd w:val="clear" w:color="auto" w:fill="D8DFDE"/>
          </w:tcPr>
          <w:p w14:paraId="520EB0F1" w14:textId="77777777" w:rsidR="00BF6967" w:rsidRPr="005529BB" w:rsidRDefault="00BF6967" w:rsidP="008144B3">
            <w:pPr>
              <w:pStyle w:val="1bodycopy11pt"/>
              <w:rPr>
                <w:rFonts w:ascii="Calibri" w:hAnsi="Calibri" w:cs="Calibri"/>
                <w:sz w:val="32"/>
              </w:rPr>
            </w:pPr>
            <w:r w:rsidRPr="005529BB">
              <w:rPr>
                <w:rFonts w:ascii="Calibri" w:hAnsi="Calibri" w:cs="Calibri"/>
                <w:sz w:val="32"/>
              </w:rPr>
              <w:t>Chris Bayliss</w:t>
            </w:r>
          </w:p>
        </w:tc>
        <w:tc>
          <w:tcPr>
            <w:tcW w:w="3866" w:type="dxa"/>
            <w:tcBorders>
              <w:top w:val="nil"/>
              <w:bottom w:val="single" w:sz="18" w:space="0" w:color="FFFFFF"/>
            </w:tcBorders>
            <w:shd w:val="clear" w:color="auto" w:fill="D8DFDE"/>
          </w:tcPr>
          <w:p w14:paraId="18A6F16F" w14:textId="47FBBC29" w:rsidR="00BF6967" w:rsidRPr="005529BB" w:rsidRDefault="00BF6967" w:rsidP="008144B3">
            <w:pPr>
              <w:pStyle w:val="1bodycopy11pt"/>
              <w:rPr>
                <w:rFonts w:ascii="Calibri" w:hAnsi="Calibri" w:cs="Calibri"/>
                <w:sz w:val="32"/>
              </w:rPr>
            </w:pPr>
            <w:r w:rsidRPr="005529BB">
              <w:rPr>
                <w:rFonts w:ascii="Calibri" w:hAnsi="Calibri" w:cs="Calibri"/>
                <w:b/>
                <w:sz w:val="32"/>
              </w:rPr>
              <w:t>Date:</w:t>
            </w:r>
            <w:r w:rsidRPr="005529BB">
              <w:rPr>
                <w:rFonts w:ascii="Calibri" w:hAnsi="Calibri" w:cs="Calibri"/>
                <w:sz w:val="32"/>
              </w:rPr>
              <w:t xml:space="preserve"> </w:t>
            </w:r>
            <w:r w:rsidR="00DB11CA">
              <w:rPr>
                <w:rFonts w:ascii="Calibri" w:hAnsi="Calibri" w:cs="Calibri"/>
                <w:sz w:val="32"/>
              </w:rPr>
              <w:t>0</w:t>
            </w:r>
            <w:r w:rsidR="00934084">
              <w:rPr>
                <w:rFonts w:ascii="Calibri" w:hAnsi="Calibri" w:cs="Calibri"/>
                <w:sz w:val="32"/>
              </w:rPr>
              <w:t>6</w:t>
            </w:r>
            <w:r w:rsidR="00DB11CA">
              <w:rPr>
                <w:rFonts w:ascii="Calibri" w:hAnsi="Calibri" w:cs="Calibri"/>
                <w:sz w:val="32"/>
              </w:rPr>
              <w:t>/202</w:t>
            </w:r>
            <w:r w:rsidR="00934084">
              <w:rPr>
                <w:rFonts w:ascii="Calibri" w:hAnsi="Calibri" w:cs="Calibri"/>
                <w:sz w:val="32"/>
              </w:rPr>
              <w:t>6</w:t>
            </w:r>
          </w:p>
        </w:tc>
      </w:tr>
      <w:tr w:rsidR="00BF6967" w:rsidRPr="00DA50A5" w14:paraId="5E612EC8" w14:textId="77777777" w:rsidTr="008144B3">
        <w:tc>
          <w:tcPr>
            <w:tcW w:w="2977" w:type="dxa"/>
            <w:tcBorders>
              <w:top w:val="single" w:sz="18" w:space="0" w:color="FFFFFF"/>
              <w:bottom w:val="single" w:sz="18" w:space="0" w:color="FFFFFF"/>
            </w:tcBorders>
            <w:shd w:val="clear" w:color="auto" w:fill="D8DFDE"/>
          </w:tcPr>
          <w:p w14:paraId="3A2C7BBD" w14:textId="77777777" w:rsidR="00BF6967" w:rsidRPr="005529BB" w:rsidRDefault="00BF6967" w:rsidP="008144B3">
            <w:pPr>
              <w:pStyle w:val="1bodycopy10pt"/>
              <w:rPr>
                <w:rFonts w:ascii="Calibri" w:hAnsi="Calibri" w:cs="Calibri"/>
                <w:b/>
                <w:sz w:val="32"/>
              </w:rPr>
            </w:pPr>
            <w:r w:rsidRPr="005529BB">
              <w:rPr>
                <w:rFonts w:ascii="Calibri" w:hAnsi="Calibri" w:cs="Calibri"/>
                <w:b/>
                <w:sz w:val="32"/>
              </w:rPr>
              <w:t>Last reviewed on:</w:t>
            </w:r>
          </w:p>
        </w:tc>
        <w:tc>
          <w:tcPr>
            <w:tcW w:w="6743" w:type="dxa"/>
            <w:gridSpan w:val="2"/>
            <w:tcBorders>
              <w:top w:val="single" w:sz="18" w:space="0" w:color="FFFFFF"/>
              <w:bottom w:val="single" w:sz="18" w:space="0" w:color="FFFFFF"/>
            </w:tcBorders>
            <w:shd w:val="clear" w:color="auto" w:fill="D8DFDE"/>
          </w:tcPr>
          <w:p w14:paraId="5793DBB9" w14:textId="214E355B" w:rsidR="00BF6967" w:rsidRPr="004627C6" w:rsidRDefault="00DB11CA" w:rsidP="008144B3">
            <w:pPr>
              <w:pStyle w:val="1bodycopy11pt"/>
              <w:rPr>
                <w:rFonts w:ascii="Calibri" w:hAnsi="Calibri" w:cs="Calibri"/>
                <w:sz w:val="32"/>
              </w:rPr>
            </w:pPr>
            <w:r>
              <w:rPr>
                <w:rFonts w:ascii="Calibri" w:hAnsi="Calibri" w:cs="Calibri"/>
                <w:sz w:val="32"/>
              </w:rPr>
              <w:t>0</w:t>
            </w:r>
            <w:r w:rsidR="00441A51">
              <w:rPr>
                <w:rFonts w:ascii="Calibri" w:hAnsi="Calibri" w:cs="Calibri"/>
                <w:sz w:val="32"/>
              </w:rPr>
              <w:t>6</w:t>
            </w:r>
            <w:r>
              <w:rPr>
                <w:rFonts w:ascii="Calibri" w:hAnsi="Calibri" w:cs="Calibri"/>
                <w:sz w:val="32"/>
              </w:rPr>
              <w:t>/</w:t>
            </w:r>
            <w:r w:rsidR="00BF6967" w:rsidRPr="005529BB">
              <w:rPr>
                <w:rFonts w:ascii="Calibri" w:hAnsi="Calibri" w:cs="Calibri"/>
                <w:sz w:val="32"/>
              </w:rPr>
              <w:t>202</w:t>
            </w:r>
            <w:r w:rsidR="00934084">
              <w:rPr>
                <w:rFonts w:ascii="Calibri" w:hAnsi="Calibri" w:cs="Calibri"/>
                <w:sz w:val="32"/>
              </w:rPr>
              <w:t>6</w:t>
            </w:r>
            <w:r w:rsidR="00BF6967">
              <w:rPr>
                <w:rFonts w:ascii="Calibri" w:hAnsi="Calibri" w:cs="Calibri"/>
                <w:sz w:val="32"/>
              </w:rPr>
              <w:t xml:space="preserve">       </w:t>
            </w:r>
            <w:r>
              <w:rPr>
                <w:rFonts w:ascii="Calibri" w:hAnsi="Calibri" w:cs="Calibri"/>
                <w:sz w:val="32"/>
              </w:rPr>
              <w:t xml:space="preserve">               </w:t>
            </w:r>
            <w:r w:rsidR="00BF6967">
              <w:rPr>
                <w:rFonts w:ascii="Calibri" w:hAnsi="Calibri" w:cs="Calibri"/>
                <w:sz w:val="32"/>
              </w:rPr>
              <w:t xml:space="preserve">   </w:t>
            </w:r>
            <w:r w:rsidR="00BF6967" w:rsidRPr="004627C6">
              <w:rPr>
                <w:rFonts w:ascii="Calibri" w:hAnsi="Calibri" w:cs="Calibri"/>
                <w:b/>
                <w:sz w:val="32"/>
              </w:rPr>
              <w:t>By:</w:t>
            </w:r>
            <w:r w:rsidR="00BF6967">
              <w:rPr>
                <w:rFonts w:ascii="Calibri" w:hAnsi="Calibri" w:cs="Calibri"/>
                <w:b/>
                <w:sz w:val="32"/>
              </w:rPr>
              <w:t xml:space="preserve"> </w:t>
            </w:r>
            <w:r w:rsidR="00BF6967">
              <w:rPr>
                <w:rFonts w:ascii="Calibri" w:hAnsi="Calibri" w:cs="Calibri"/>
                <w:sz w:val="32"/>
              </w:rPr>
              <w:t>Sam Belsey</w:t>
            </w:r>
          </w:p>
        </w:tc>
      </w:tr>
      <w:tr w:rsidR="00BF6967" w:rsidRPr="00DA50A5" w14:paraId="613D884E" w14:textId="77777777" w:rsidTr="008144B3">
        <w:tc>
          <w:tcPr>
            <w:tcW w:w="2977" w:type="dxa"/>
            <w:tcBorders>
              <w:top w:val="single" w:sz="18" w:space="0" w:color="FFFFFF"/>
              <w:bottom w:val="nil"/>
            </w:tcBorders>
            <w:shd w:val="clear" w:color="auto" w:fill="D8DFDE"/>
          </w:tcPr>
          <w:p w14:paraId="514CA20C" w14:textId="77777777" w:rsidR="00BF6967" w:rsidRPr="005529BB" w:rsidRDefault="00BF6967" w:rsidP="008144B3">
            <w:pPr>
              <w:pStyle w:val="1bodycopy10pt"/>
              <w:rPr>
                <w:rFonts w:ascii="Calibri" w:hAnsi="Calibri" w:cs="Calibri"/>
                <w:b/>
                <w:sz w:val="32"/>
              </w:rPr>
            </w:pPr>
            <w:r w:rsidRPr="005529BB">
              <w:rPr>
                <w:rFonts w:ascii="Calibri" w:hAnsi="Calibri" w:cs="Calibri"/>
                <w:b/>
                <w:sz w:val="32"/>
              </w:rPr>
              <w:t>Next review due by:</w:t>
            </w:r>
          </w:p>
        </w:tc>
        <w:tc>
          <w:tcPr>
            <w:tcW w:w="6743" w:type="dxa"/>
            <w:gridSpan w:val="2"/>
            <w:tcBorders>
              <w:top w:val="single" w:sz="18" w:space="0" w:color="FFFFFF"/>
              <w:bottom w:val="nil"/>
            </w:tcBorders>
            <w:shd w:val="clear" w:color="auto" w:fill="D8DFDE"/>
          </w:tcPr>
          <w:p w14:paraId="03F175B6" w14:textId="4D215BDE" w:rsidR="00BF6967" w:rsidRPr="005529BB" w:rsidRDefault="00DB11CA" w:rsidP="008144B3">
            <w:pPr>
              <w:pStyle w:val="1bodycopy11pt"/>
              <w:rPr>
                <w:rFonts w:ascii="Calibri" w:hAnsi="Calibri" w:cs="Calibri"/>
                <w:sz w:val="32"/>
              </w:rPr>
            </w:pPr>
            <w:r>
              <w:rPr>
                <w:rFonts w:ascii="Calibri" w:hAnsi="Calibri" w:cs="Calibri"/>
                <w:sz w:val="32"/>
              </w:rPr>
              <w:t>0</w:t>
            </w:r>
            <w:r w:rsidR="00441A51">
              <w:rPr>
                <w:rFonts w:ascii="Calibri" w:hAnsi="Calibri" w:cs="Calibri"/>
                <w:sz w:val="32"/>
              </w:rPr>
              <w:t>6</w:t>
            </w:r>
            <w:bookmarkStart w:id="0" w:name="_GoBack"/>
            <w:bookmarkEnd w:id="0"/>
            <w:r>
              <w:rPr>
                <w:rFonts w:ascii="Calibri" w:hAnsi="Calibri" w:cs="Calibri"/>
                <w:sz w:val="32"/>
              </w:rPr>
              <w:t>/</w:t>
            </w:r>
            <w:r w:rsidR="00BF6967" w:rsidRPr="005529BB">
              <w:rPr>
                <w:rFonts w:ascii="Calibri" w:hAnsi="Calibri" w:cs="Calibri"/>
                <w:sz w:val="32"/>
              </w:rPr>
              <w:t>202</w:t>
            </w:r>
            <w:r w:rsidR="00934084">
              <w:rPr>
                <w:rFonts w:ascii="Calibri" w:hAnsi="Calibri" w:cs="Calibri"/>
                <w:sz w:val="32"/>
              </w:rPr>
              <w:t>8</w:t>
            </w:r>
            <w:r>
              <w:rPr>
                <w:rFonts w:ascii="Calibri" w:hAnsi="Calibri" w:cs="Calibri"/>
                <w:sz w:val="32"/>
              </w:rPr>
              <w:t xml:space="preserve">                         </w:t>
            </w:r>
            <w:r w:rsidR="00BF6967" w:rsidRPr="004627C6">
              <w:rPr>
                <w:rFonts w:ascii="Calibri" w:hAnsi="Calibri" w:cs="Calibri"/>
                <w:b/>
                <w:sz w:val="32"/>
              </w:rPr>
              <w:t>By:</w:t>
            </w:r>
            <w:r w:rsidR="00BF6967">
              <w:rPr>
                <w:rFonts w:ascii="Calibri" w:hAnsi="Calibri" w:cs="Calibri"/>
                <w:b/>
                <w:sz w:val="32"/>
              </w:rPr>
              <w:t xml:space="preserve"> </w:t>
            </w:r>
            <w:r w:rsidR="00BF6967">
              <w:rPr>
                <w:rFonts w:ascii="Calibri" w:hAnsi="Calibri" w:cs="Calibri"/>
                <w:sz w:val="32"/>
              </w:rPr>
              <w:t>Sam Belsey</w:t>
            </w:r>
          </w:p>
        </w:tc>
      </w:tr>
    </w:tbl>
    <w:p w14:paraId="37507532" w14:textId="77777777" w:rsidR="00742DD8" w:rsidRPr="000A3DA7" w:rsidRDefault="00742DD8" w:rsidP="00BF6967">
      <w:pPr>
        <w:pStyle w:val="Default"/>
        <w:rPr>
          <w:rFonts w:asciiTheme="minorHAnsi" w:hAnsiTheme="minorHAnsi" w:cstheme="minorHAnsi"/>
          <w:b/>
          <w:sz w:val="30"/>
          <w:szCs w:val="22"/>
        </w:rPr>
      </w:pPr>
    </w:p>
    <w:p w14:paraId="0C17FC55" w14:textId="3B0E7F56" w:rsidR="009153C1" w:rsidRPr="000A3DA7" w:rsidRDefault="00893A18" w:rsidP="00BF6967">
      <w:pPr>
        <w:pStyle w:val="Default"/>
        <w:rPr>
          <w:rFonts w:asciiTheme="minorHAnsi" w:hAnsiTheme="minorHAnsi" w:cstheme="minorHAnsi"/>
          <w:b/>
          <w:sz w:val="32"/>
          <w:szCs w:val="22"/>
        </w:rPr>
      </w:pPr>
      <w:r w:rsidRPr="000A3DA7">
        <w:rPr>
          <w:rFonts w:asciiTheme="minorHAnsi" w:hAnsiTheme="minorHAnsi" w:cstheme="minorHAnsi"/>
          <w:b/>
          <w:sz w:val="32"/>
          <w:szCs w:val="22"/>
        </w:rPr>
        <w:lastRenderedPageBreak/>
        <w:t>PSHE</w:t>
      </w:r>
      <w:r w:rsidR="009153C1" w:rsidRPr="000A3DA7">
        <w:rPr>
          <w:rFonts w:asciiTheme="minorHAnsi" w:hAnsiTheme="minorHAnsi" w:cstheme="minorHAnsi"/>
          <w:b/>
          <w:sz w:val="32"/>
          <w:szCs w:val="22"/>
        </w:rPr>
        <w:t xml:space="preserve"> and SMSC</w:t>
      </w:r>
    </w:p>
    <w:p w14:paraId="58EB3EC1" w14:textId="7427B5DF" w:rsidR="00FC728C" w:rsidRPr="000A3DA7" w:rsidRDefault="00FC728C" w:rsidP="009153C1">
      <w:pPr>
        <w:pStyle w:val="Default"/>
        <w:rPr>
          <w:rFonts w:asciiTheme="minorHAnsi" w:hAnsiTheme="minorHAnsi" w:cstheme="minorHAnsi"/>
          <w:szCs w:val="22"/>
        </w:rPr>
      </w:pPr>
    </w:p>
    <w:p w14:paraId="71A2DA7F" w14:textId="3457F002" w:rsidR="00863FF7" w:rsidRPr="000A3DA7" w:rsidRDefault="00863FF7" w:rsidP="00863FF7">
      <w:pPr>
        <w:pStyle w:val="Default"/>
        <w:spacing w:after="200"/>
        <w:rPr>
          <w:rFonts w:asciiTheme="minorHAnsi" w:hAnsiTheme="minorHAnsi" w:cstheme="minorHAnsi"/>
          <w:szCs w:val="22"/>
        </w:rPr>
      </w:pPr>
      <w:r w:rsidRPr="000A3DA7">
        <w:rPr>
          <w:rFonts w:asciiTheme="minorHAnsi" w:hAnsiTheme="minorHAnsi" w:cstheme="minorHAnsi"/>
          <w:szCs w:val="22"/>
        </w:rPr>
        <w:t xml:space="preserve">The Bridge Education Centre believes that Personal, Social and Health Education is a major part of the preparation for adult life. Skills will be learned and information </w:t>
      </w:r>
      <w:r w:rsidR="00F0400B" w:rsidRPr="000A3DA7">
        <w:rPr>
          <w:rFonts w:asciiTheme="minorHAnsi" w:hAnsiTheme="minorHAnsi" w:cstheme="minorHAnsi"/>
          <w:szCs w:val="22"/>
        </w:rPr>
        <w:t>g</w:t>
      </w:r>
      <w:r w:rsidRPr="000A3DA7">
        <w:rPr>
          <w:rFonts w:asciiTheme="minorHAnsi" w:hAnsiTheme="minorHAnsi" w:cstheme="minorHAnsi"/>
          <w:szCs w:val="22"/>
        </w:rPr>
        <w:t>ained that will allow pupils to be more in control of their own lives, meaning they are able to make healthy and informed choices. The key aim is that pupils will come to learn that they must accept increasing responsibility in their adult lives.</w:t>
      </w:r>
    </w:p>
    <w:p w14:paraId="6FF83490" w14:textId="38B6D566" w:rsidR="00FC728C" w:rsidRPr="000A3DA7" w:rsidRDefault="00FC728C" w:rsidP="007D46F3">
      <w:pPr>
        <w:pStyle w:val="Default"/>
        <w:spacing w:after="200"/>
        <w:rPr>
          <w:rFonts w:asciiTheme="minorHAnsi" w:hAnsiTheme="minorHAnsi" w:cstheme="minorHAnsi"/>
          <w:szCs w:val="22"/>
        </w:rPr>
      </w:pPr>
      <w:r w:rsidRPr="000A3DA7">
        <w:rPr>
          <w:rFonts w:asciiTheme="minorHAnsi" w:hAnsiTheme="minorHAnsi" w:cstheme="minorHAnsi"/>
          <w:szCs w:val="22"/>
        </w:rPr>
        <w:t xml:space="preserve">PSHE </w:t>
      </w:r>
      <w:r w:rsidR="006A3AD0" w:rsidRPr="000A3DA7">
        <w:rPr>
          <w:rFonts w:asciiTheme="minorHAnsi" w:hAnsiTheme="minorHAnsi" w:cstheme="minorHAnsi"/>
          <w:szCs w:val="22"/>
        </w:rPr>
        <w:t>is taken from the PSHE Association’s Programme of Study and</w:t>
      </w:r>
      <w:r w:rsidRPr="000A3DA7">
        <w:rPr>
          <w:rFonts w:asciiTheme="minorHAnsi" w:hAnsiTheme="minorHAnsi" w:cstheme="minorHAnsi"/>
          <w:szCs w:val="22"/>
        </w:rPr>
        <w:t xml:space="preserve"> </w:t>
      </w:r>
      <w:r w:rsidR="006A3AD0" w:rsidRPr="000A3DA7">
        <w:rPr>
          <w:rFonts w:asciiTheme="minorHAnsi" w:hAnsiTheme="minorHAnsi" w:cstheme="minorHAnsi"/>
          <w:szCs w:val="22"/>
        </w:rPr>
        <w:t xml:space="preserve">is tailored to pupils in both KS3 and KS4. In addition, PSHE is covered across the life of the Centre, both in academic lessons onsite and offsite on active. </w:t>
      </w:r>
      <w:r w:rsidRPr="000A3DA7">
        <w:rPr>
          <w:rFonts w:asciiTheme="minorHAnsi" w:hAnsiTheme="minorHAnsi" w:cstheme="minorHAnsi"/>
          <w:szCs w:val="22"/>
        </w:rPr>
        <w:t xml:space="preserve">We also ensure that we promote British Values through </w:t>
      </w:r>
      <w:r w:rsidR="006A3AD0" w:rsidRPr="000A3DA7">
        <w:rPr>
          <w:rFonts w:asciiTheme="minorHAnsi" w:hAnsiTheme="minorHAnsi" w:cstheme="minorHAnsi"/>
          <w:szCs w:val="22"/>
        </w:rPr>
        <w:t>spiritual, moral, social and cultural development and address our duty to Prevent.</w:t>
      </w:r>
    </w:p>
    <w:p w14:paraId="4B8FD92C" w14:textId="77777777" w:rsidR="000A3DA7" w:rsidRPr="000A3DA7" w:rsidRDefault="000A3DA7" w:rsidP="000A3DA7">
      <w:pPr>
        <w:spacing w:line="240" w:lineRule="auto"/>
        <w:rPr>
          <w:rFonts w:cstheme="minorHAnsi"/>
          <w:b/>
          <w:sz w:val="32"/>
        </w:rPr>
      </w:pPr>
      <w:r w:rsidRPr="000A3DA7">
        <w:rPr>
          <w:rFonts w:cstheme="minorHAnsi"/>
          <w:b/>
          <w:sz w:val="32"/>
        </w:rPr>
        <w:t>Parental Consultation</w:t>
      </w:r>
    </w:p>
    <w:p w14:paraId="688B4C5E" w14:textId="05BE201B" w:rsidR="000A3DA7" w:rsidRPr="000A3DA7" w:rsidRDefault="000A3DA7" w:rsidP="000A3DA7">
      <w:pPr>
        <w:spacing w:line="240" w:lineRule="auto"/>
        <w:rPr>
          <w:rFonts w:cstheme="minorHAnsi"/>
          <w:sz w:val="24"/>
        </w:rPr>
      </w:pPr>
      <w:r w:rsidRPr="000A3DA7">
        <w:rPr>
          <w:rFonts w:cstheme="minorHAnsi"/>
          <w:sz w:val="24"/>
        </w:rPr>
        <w:t>Communication with parents is a key aspect of how we support pupils in PSHE at The Bridge. Parents are informed in termly written reports what pupils have been studying and what they will study in the next half term, giving parents the chance to query and discuss any question or reservations they may have, including what they can do if they any issues with the topics they are stud</w:t>
      </w:r>
      <w:r w:rsidR="004A6AA9">
        <w:rPr>
          <w:rFonts w:cstheme="minorHAnsi"/>
          <w:sz w:val="24"/>
        </w:rPr>
        <w:t>y</w:t>
      </w:r>
      <w:r w:rsidRPr="000A3DA7">
        <w:rPr>
          <w:rFonts w:cstheme="minorHAnsi"/>
          <w:sz w:val="24"/>
        </w:rPr>
        <w:t xml:space="preserve">ing. Furthermore, during </w:t>
      </w:r>
      <w:r w:rsidR="00934084" w:rsidRPr="000A3DA7">
        <w:rPr>
          <w:rFonts w:cstheme="minorHAnsi"/>
          <w:sz w:val="24"/>
        </w:rPr>
        <w:t>parents’</w:t>
      </w:r>
      <w:r w:rsidRPr="000A3DA7">
        <w:rPr>
          <w:rFonts w:cstheme="minorHAnsi"/>
          <w:sz w:val="24"/>
        </w:rPr>
        <w:t xml:space="preserve"> evening</w:t>
      </w:r>
      <w:r w:rsidR="00934084">
        <w:rPr>
          <w:rFonts w:cstheme="minorHAnsi"/>
          <w:sz w:val="24"/>
        </w:rPr>
        <w:t>s</w:t>
      </w:r>
      <w:r w:rsidRPr="000A3DA7">
        <w:rPr>
          <w:rFonts w:cstheme="minorHAnsi"/>
          <w:sz w:val="24"/>
        </w:rPr>
        <w:t xml:space="preserve"> and weekly tutor phone calls parents are encouraged to raise any issues which are then addressed by the head of PSHE or a member of the SLT team.</w:t>
      </w:r>
    </w:p>
    <w:p w14:paraId="2E9E8707" w14:textId="6F479C5B" w:rsidR="004F1E14" w:rsidRPr="000A3DA7" w:rsidRDefault="004F1E14" w:rsidP="00863FF7">
      <w:pPr>
        <w:pStyle w:val="Default"/>
        <w:spacing w:after="200"/>
        <w:rPr>
          <w:rFonts w:asciiTheme="minorHAnsi" w:hAnsiTheme="minorHAnsi" w:cstheme="minorHAnsi"/>
          <w:b/>
          <w:sz w:val="30"/>
          <w:szCs w:val="22"/>
        </w:rPr>
      </w:pPr>
      <w:r w:rsidRPr="000A3DA7">
        <w:rPr>
          <w:rFonts w:asciiTheme="minorHAnsi" w:hAnsiTheme="minorHAnsi" w:cstheme="minorHAnsi"/>
          <w:b/>
          <w:sz w:val="30"/>
          <w:szCs w:val="22"/>
        </w:rPr>
        <w:t>Aims</w:t>
      </w:r>
    </w:p>
    <w:p w14:paraId="294630D7" w14:textId="0856BC71" w:rsidR="004F1E14" w:rsidRPr="000A3DA7" w:rsidRDefault="004F1E14" w:rsidP="004F1E14">
      <w:pPr>
        <w:pStyle w:val="Default"/>
        <w:numPr>
          <w:ilvl w:val="0"/>
          <w:numId w:val="5"/>
        </w:numPr>
        <w:ind w:left="360"/>
        <w:rPr>
          <w:rFonts w:asciiTheme="minorHAnsi" w:hAnsiTheme="minorHAnsi" w:cstheme="minorHAnsi"/>
          <w:szCs w:val="22"/>
        </w:rPr>
      </w:pPr>
      <w:r w:rsidRPr="000A3DA7">
        <w:rPr>
          <w:rFonts w:asciiTheme="minorHAnsi" w:hAnsiTheme="minorHAnsi" w:cstheme="minorHAnsi"/>
          <w:szCs w:val="22"/>
        </w:rPr>
        <w:t>To develop and cultivate the Social, Moral, Spiritual and Cultural ethos throughout the Centre.</w:t>
      </w:r>
    </w:p>
    <w:p w14:paraId="0287DFEB" w14:textId="77EB48CB" w:rsidR="004F1E14" w:rsidRPr="000A3DA7" w:rsidRDefault="004F1E14" w:rsidP="004F1E14">
      <w:pPr>
        <w:pStyle w:val="Default"/>
        <w:numPr>
          <w:ilvl w:val="0"/>
          <w:numId w:val="5"/>
        </w:numPr>
        <w:ind w:left="360"/>
        <w:rPr>
          <w:rFonts w:asciiTheme="minorHAnsi" w:hAnsiTheme="minorHAnsi" w:cstheme="minorHAnsi"/>
          <w:szCs w:val="22"/>
        </w:rPr>
      </w:pPr>
      <w:r w:rsidRPr="000A3DA7">
        <w:rPr>
          <w:rFonts w:asciiTheme="minorHAnsi" w:hAnsiTheme="minorHAnsi" w:cstheme="minorHAnsi"/>
          <w:szCs w:val="22"/>
        </w:rPr>
        <w:t xml:space="preserve">To promote </w:t>
      </w:r>
      <w:r w:rsidR="00F0400B" w:rsidRPr="000A3DA7">
        <w:rPr>
          <w:rFonts w:asciiTheme="minorHAnsi" w:hAnsiTheme="minorHAnsi" w:cstheme="minorHAnsi"/>
          <w:szCs w:val="22"/>
        </w:rPr>
        <w:t>self-respect</w:t>
      </w:r>
      <w:r w:rsidRPr="000A3DA7">
        <w:rPr>
          <w:rFonts w:asciiTheme="minorHAnsi" w:hAnsiTheme="minorHAnsi" w:cstheme="minorHAnsi"/>
          <w:szCs w:val="22"/>
        </w:rPr>
        <w:t xml:space="preserve"> trust and tolerance of others.</w:t>
      </w:r>
    </w:p>
    <w:p w14:paraId="29814BB1" w14:textId="1731D2EA" w:rsidR="004F1E14" w:rsidRPr="000A3DA7" w:rsidRDefault="004F1E14" w:rsidP="004F1E14">
      <w:pPr>
        <w:pStyle w:val="Default"/>
        <w:numPr>
          <w:ilvl w:val="0"/>
          <w:numId w:val="5"/>
        </w:numPr>
        <w:ind w:left="360"/>
        <w:rPr>
          <w:rFonts w:asciiTheme="minorHAnsi" w:hAnsiTheme="minorHAnsi" w:cstheme="minorHAnsi"/>
          <w:szCs w:val="22"/>
        </w:rPr>
      </w:pPr>
      <w:r w:rsidRPr="000A3DA7">
        <w:rPr>
          <w:rFonts w:asciiTheme="minorHAnsi" w:hAnsiTheme="minorHAnsi" w:cstheme="minorHAnsi"/>
          <w:szCs w:val="22"/>
        </w:rPr>
        <w:t>To introduce pupils to and develop and help them develop the skills and knowledge necessary for taking control of their own lives and coping with the demands of a modern society.</w:t>
      </w:r>
    </w:p>
    <w:p w14:paraId="6D752842" w14:textId="3B16F8F5" w:rsidR="004F1E14" w:rsidRPr="000A3DA7" w:rsidRDefault="004F1E14" w:rsidP="004F1E14">
      <w:pPr>
        <w:pStyle w:val="Default"/>
        <w:numPr>
          <w:ilvl w:val="0"/>
          <w:numId w:val="5"/>
        </w:numPr>
        <w:ind w:left="360"/>
        <w:rPr>
          <w:rFonts w:asciiTheme="minorHAnsi" w:hAnsiTheme="minorHAnsi" w:cstheme="minorHAnsi"/>
          <w:szCs w:val="22"/>
        </w:rPr>
      </w:pPr>
      <w:r w:rsidRPr="000A3DA7">
        <w:rPr>
          <w:rFonts w:asciiTheme="minorHAnsi" w:hAnsiTheme="minorHAnsi" w:cstheme="minorHAnsi"/>
          <w:szCs w:val="22"/>
        </w:rPr>
        <w:t>To increase pupils’ knowledge and understanding about the implications and possible consequences of use and misuse of substances.</w:t>
      </w:r>
    </w:p>
    <w:p w14:paraId="520D7EEA" w14:textId="6C6F4364" w:rsidR="00FE1D6A" w:rsidRPr="000A3DA7" w:rsidRDefault="004F1E14" w:rsidP="00FE1D6A">
      <w:pPr>
        <w:pStyle w:val="Default"/>
        <w:numPr>
          <w:ilvl w:val="0"/>
          <w:numId w:val="5"/>
        </w:numPr>
        <w:ind w:left="360"/>
        <w:rPr>
          <w:rFonts w:asciiTheme="minorHAnsi" w:hAnsiTheme="minorHAnsi" w:cstheme="minorHAnsi"/>
          <w:szCs w:val="22"/>
        </w:rPr>
      </w:pPr>
      <w:r w:rsidRPr="000A3DA7">
        <w:rPr>
          <w:rFonts w:asciiTheme="minorHAnsi" w:hAnsiTheme="minorHAnsi" w:cstheme="minorHAnsi"/>
          <w:szCs w:val="22"/>
        </w:rPr>
        <w:t xml:space="preserve">To give each pupil the necessary life skills to enable them to make informed healthy choices </w:t>
      </w:r>
      <w:r w:rsidR="00FE1D6A" w:rsidRPr="000A3DA7">
        <w:rPr>
          <w:rFonts w:asciiTheme="minorHAnsi" w:hAnsiTheme="minorHAnsi" w:cstheme="minorHAnsi"/>
          <w:szCs w:val="22"/>
        </w:rPr>
        <w:t>about sexual matters.</w:t>
      </w:r>
    </w:p>
    <w:p w14:paraId="03793317" w14:textId="77CAD9A5" w:rsidR="00FE1D6A" w:rsidRPr="000A3DA7" w:rsidRDefault="00FE1D6A" w:rsidP="00FE1D6A">
      <w:pPr>
        <w:pStyle w:val="Default"/>
        <w:numPr>
          <w:ilvl w:val="0"/>
          <w:numId w:val="5"/>
        </w:numPr>
        <w:ind w:left="360"/>
        <w:rPr>
          <w:rFonts w:asciiTheme="minorHAnsi" w:hAnsiTheme="minorHAnsi" w:cstheme="minorHAnsi"/>
          <w:szCs w:val="22"/>
        </w:rPr>
      </w:pPr>
      <w:r w:rsidRPr="000A3DA7">
        <w:rPr>
          <w:rFonts w:asciiTheme="minorHAnsi" w:hAnsiTheme="minorHAnsi" w:cstheme="minorHAnsi"/>
          <w:szCs w:val="22"/>
        </w:rPr>
        <w:t>To relate skills learned and promotion of PSHE to all areas of the curriculum and to life generally in and out of school.</w:t>
      </w:r>
    </w:p>
    <w:p w14:paraId="3C0C7EC6" w14:textId="3DC6F8CD" w:rsidR="00FE1D6A" w:rsidRPr="000A3DA7" w:rsidRDefault="00863FF7" w:rsidP="00863FF7">
      <w:pPr>
        <w:pStyle w:val="Default"/>
        <w:numPr>
          <w:ilvl w:val="0"/>
          <w:numId w:val="5"/>
        </w:numPr>
        <w:spacing w:after="200"/>
        <w:ind w:left="360"/>
        <w:rPr>
          <w:rFonts w:asciiTheme="minorHAnsi" w:hAnsiTheme="minorHAnsi" w:cstheme="minorHAnsi"/>
          <w:szCs w:val="22"/>
        </w:rPr>
      </w:pPr>
      <w:r w:rsidRPr="000A3DA7">
        <w:rPr>
          <w:rFonts w:asciiTheme="minorHAnsi" w:hAnsiTheme="minorHAnsi" w:cstheme="minorHAnsi"/>
          <w:szCs w:val="22"/>
        </w:rPr>
        <w:t>To operate within the framework of the behaviour policy.</w:t>
      </w:r>
    </w:p>
    <w:p w14:paraId="2796F23B" w14:textId="0A794D1C" w:rsidR="006E504E" w:rsidRPr="000A3DA7" w:rsidRDefault="006E504E" w:rsidP="00FE1D6A">
      <w:pPr>
        <w:pStyle w:val="Default"/>
        <w:spacing w:after="200"/>
        <w:rPr>
          <w:rFonts w:asciiTheme="minorHAnsi" w:hAnsiTheme="minorHAnsi" w:cstheme="minorHAnsi"/>
          <w:szCs w:val="22"/>
        </w:rPr>
      </w:pPr>
      <w:r w:rsidRPr="000A3DA7">
        <w:rPr>
          <w:rFonts w:asciiTheme="minorHAnsi" w:hAnsiTheme="minorHAnsi" w:cstheme="minorHAnsi"/>
          <w:szCs w:val="22"/>
        </w:rPr>
        <w:t xml:space="preserve">Pupils PSHE Curriculum in KS3 and KS4 looks at the </w:t>
      </w:r>
      <w:r w:rsidR="00934084">
        <w:rPr>
          <w:rFonts w:asciiTheme="minorHAnsi" w:hAnsiTheme="minorHAnsi" w:cstheme="minorHAnsi"/>
          <w:szCs w:val="22"/>
        </w:rPr>
        <w:t>six</w:t>
      </w:r>
      <w:r w:rsidRPr="000A3DA7">
        <w:rPr>
          <w:rFonts w:asciiTheme="minorHAnsi" w:hAnsiTheme="minorHAnsi" w:cstheme="minorHAnsi"/>
          <w:szCs w:val="22"/>
        </w:rPr>
        <w:t xml:space="preserve"> core themes outlined</w:t>
      </w:r>
      <w:r w:rsidR="007D46F3" w:rsidRPr="000A3DA7">
        <w:rPr>
          <w:rFonts w:asciiTheme="minorHAnsi" w:hAnsiTheme="minorHAnsi" w:cstheme="minorHAnsi"/>
          <w:szCs w:val="22"/>
        </w:rPr>
        <w:t>. These are:</w:t>
      </w:r>
    </w:p>
    <w:p w14:paraId="2A9D31ED" w14:textId="7D0BAFE0" w:rsidR="006E504E" w:rsidRDefault="00934084" w:rsidP="007D46F3">
      <w:pPr>
        <w:pStyle w:val="ListParagraph"/>
        <w:numPr>
          <w:ilvl w:val="0"/>
          <w:numId w:val="4"/>
        </w:numPr>
        <w:rPr>
          <w:sz w:val="24"/>
        </w:rPr>
      </w:pPr>
      <w:r>
        <w:rPr>
          <w:sz w:val="24"/>
        </w:rPr>
        <w:t>Emotional and mental health</w:t>
      </w:r>
    </w:p>
    <w:p w14:paraId="44671E95" w14:textId="1F0A944C" w:rsidR="00934084" w:rsidRDefault="00934084" w:rsidP="007D46F3">
      <w:pPr>
        <w:pStyle w:val="ListParagraph"/>
        <w:numPr>
          <w:ilvl w:val="0"/>
          <w:numId w:val="4"/>
        </w:numPr>
        <w:rPr>
          <w:sz w:val="24"/>
        </w:rPr>
      </w:pPr>
      <w:r>
        <w:rPr>
          <w:sz w:val="24"/>
        </w:rPr>
        <w:t>Health and fitness</w:t>
      </w:r>
    </w:p>
    <w:p w14:paraId="73E7D8D6" w14:textId="2D69754F" w:rsidR="00934084" w:rsidRPr="000A3DA7" w:rsidRDefault="00934084" w:rsidP="007D46F3">
      <w:pPr>
        <w:pStyle w:val="ListParagraph"/>
        <w:numPr>
          <w:ilvl w:val="0"/>
          <w:numId w:val="4"/>
        </w:numPr>
        <w:rPr>
          <w:sz w:val="24"/>
        </w:rPr>
      </w:pPr>
      <w:r>
        <w:rPr>
          <w:sz w:val="24"/>
        </w:rPr>
        <w:t>Skills, values and responsibilities</w:t>
      </w:r>
    </w:p>
    <w:p w14:paraId="2E3B6F27" w14:textId="46FA7449" w:rsidR="006E504E" w:rsidRDefault="00934084" w:rsidP="007D46F3">
      <w:pPr>
        <w:pStyle w:val="ListParagraph"/>
        <w:numPr>
          <w:ilvl w:val="0"/>
          <w:numId w:val="4"/>
        </w:numPr>
        <w:rPr>
          <w:sz w:val="24"/>
        </w:rPr>
      </w:pPr>
      <w:r>
        <w:rPr>
          <w:sz w:val="24"/>
        </w:rPr>
        <w:t>Health and fitness</w:t>
      </w:r>
    </w:p>
    <w:p w14:paraId="114BFBA0" w14:textId="04681050" w:rsidR="00934084" w:rsidRDefault="00934084" w:rsidP="007D46F3">
      <w:pPr>
        <w:pStyle w:val="ListParagraph"/>
        <w:numPr>
          <w:ilvl w:val="0"/>
          <w:numId w:val="4"/>
        </w:numPr>
        <w:rPr>
          <w:sz w:val="24"/>
        </w:rPr>
      </w:pPr>
      <w:r>
        <w:rPr>
          <w:sz w:val="24"/>
        </w:rPr>
        <w:lastRenderedPageBreak/>
        <w:t>Future choices and money</w:t>
      </w:r>
    </w:p>
    <w:p w14:paraId="274679A6" w14:textId="474D6861" w:rsidR="00934084" w:rsidRPr="000A3DA7" w:rsidRDefault="00934084" w:rsidP="007D46F3">
      <w:pPr>
        <w:pStyle w:val="ListParagraph"/>
        <w:numPr>
          <w:ilvl w:val="0"/>
          <w:numId w:val="4"/>
        </w:numPr>
        <w:rPr>
          <w:sz w:val="24"/>
        </w:rPr>
      </w:pPr>
      <w:r>
        <w:rPr>
          <w:sz w:val="24"/>
        </w:rPr>
        <w:t>Relationships and sex education</w:t>
      </w:r>
    </w:p>
    <w:p w14:paraId="2C26F979" w14:textId="0FD7BF82" w:rsidR="009D5C8D" w:rsidRPr="000A3DA7" w:rsidRDefault="009153C1" w:rsidP="007D46F3">
      <w:pPr>
        <w:pStyle w:val="Default"/>
        <w:spacing w:after="200"/>
        <w:rPr>
          <w:rFonts w:asciiTheme="minorHAnsi" w:hAnsiTheme="minorHAnsi" w:cstheme="minorHAnsi"/>
          <w:szCs w:val="22"/>
        </w:rPr>
      </w:pPr>
      <w:r w:rsidRPr="000A3DA7">
        <w:rPr>
          <w:rFonts w:asciiTheme="minorHAnsi" w:hAnsiTheme="minorHAnsi" w:cstheme="minorHAnsi"/>
          <w:szCs w:val="22"/>
        </w:rPr>
        <w:t xml:space="preserve">PSHE </w:t>
      </w:r>
      <w:r w:rsidR="006A3AD0" w:rsidRPr="000A3DA7">
        <w:rPr>
          <w:rFonts w:asciiTheme="minorHAnsi" w:hAnsiTheme="minorHAnsi" w:cstheme="minorHAnsi"/>
          <w:szCs w:val="22"/>
        </w:rPr>
        <w:t>lessons</w:t>
      </w:r>
      <w:r w:rsidR="009D5C8D" w:rsidRPr="000A3DA7">
        <w:rPr>
          <w:rFonts w:asciiTheme="minorHAnsi" w:hAnsiTheme="minorHAnsi" w:cstheme="minorHAnsi"/>
          <w:szCs w:val="22"/>
        </w:rPr>
        <w:t xml:space="preserve"> are an effective way of providing pupils with time to explore sensitive or controversial issues, </w:t>
      </w:r>
      <w:r w:rsidR="006A3AD0" w:rsidRPr="000A3DA7">
        <w:rPr>
          <w:rFonts w:asciiTheme="minorHAnsi" w:hAnsiTheme="minorHAnsi" w:cstheme="minorHAnsi"/>
          <w:szCs w:val="22"/>
        </w:rPr>
        <w:t>while</w:t>
      </w:r>
      <w:r w:rsidR="009D5C8D" w:rsidRPr="000A3DA7">
        <w:rPr>
          <w:rFonts w:asciiTheme="minorHAnsi" w:hAnsiTheme="minorHAnsi" w:cstheme="minorHAnsi"/>
          <w:szCs w:val="22"/>
        </w:rPr>
        <w:t xml:space="preserve"> equipping them with the knowledge and skills to understand and manage difficult situations. </w:t>
      </w:r>
    </w:p>
    <w:p w14:paraId="6CE254E1" w14:textId="0C9ADB2D" w:rsidR="009153C1" w:rsidRPr="000A3DA7" w:rsidRDefault="009153C1" w:rsidP="007D46F3">
      <w:pPr>
        <w:pStyle w:val="Default"/>
        <w:spacing w:after="200"/>
        <w:rPr>
          <w:rFonts w:asciiTheme="minorHAnsi" w:hAnsiTheme="minorHAnsi" w:cstheme="minorHAnsi"/>
          <w:szCs w:val="22"/>
        </w:rPr>
      </w:pPr>
      <w:r w:rsidRPr="000A3DA7">
        <w:rPr>
          <w:rFonts w:asciiTheme="minorHAnsi" w:hAnsiTheme="minorHAnsi" w:cstheme="minorHAnsi"/>
          <w:szCs w:val="22"/>
        </w:rPr>
        <w:t xml:space="preserve">Additionally, many themes are complemented in </w:t>
      </w:r>
      <w:r w:rsidR="006A3AD0" w:rsidRPr="000A3DA7">
        <w:rPr>
          <w:rFonts w:asciiTheme="minorHAnsi" w:hAnsiTheme="minorHAnsi" w:cstheme="minorHAnsi"/>
          <w:szCs w:val="22"/>
        </w:rPr>
        <w:t xml:space="preserve">Religious Education, </w:t>
      </w:r>
      <w:r w:rsidRPr="000A3DA7">
        <w:rPr>
          <w:rFonts w:asciiTheme="minorHAnsi" w:hAnsiTheme="minorHAnsi" w:cstheme="minorHAnsi"/>
          <w:szCs w:val="22"/>
        </w:rPr>
        <w:t>where students are required to discuss and debate topical issues, considering the moral implications of their actions and how consequences can affect society as a whole. Students understand that this is a safe space to ask questions and explore complex feelings and views on controversial topics.</w:t>
      </w:r>
    </w:p>
    <w:p w14:paraId="7D5B1878" w14:textId="7E01F6F0" w:rsidR="00C43BDE" w:rsidRPr="000A3DA7" w:rsidRDefault="007D46F3" w:rsidP="007D46F3">
      <w:pPr>
        <w:pStyle w:val="Default"/>
        <w:spacing w:after="200"/>
        <w:rPr>
          <w:rFonts w:asciiTheme="minorHAnsi" w:hAnsiTheme="minorHAnsi" w:cstheme="minorHAnsi"/>
          <w:szCs w:val="22"/>
        </w:rPr>
      </w:pPr>
      <w:r w:rsidRPr="000A3DA7">
        <w:rPr>
          <w:rFonts w:asciiTheme="minorHAnsi" w:hAnsiTheme="minorHAnsi" w:cstheme="minorHAnsi"/>
          <w:szCs w:val="22"/>
        </w:rPr>
        <w:t>As well as PSHE and SMSC being specifically targeted in RS and PSHE lesson, it is promoted across the whole life of the Centre.</w:t>
      </w:r>
      <w:r w:rsidR="00C43BDE" w:rsidRPr="000A3DA7">
        <w:rPr>
          <w:rFonts w:asciiTheme="minorHAnsi" w:hAnsiTheme="minorHAnsi" w:cstheme="minorHAnsi"/>
          <w:szCs w:val="22"/>
        </w:rPr>
        <w:t xml:space="preserve"> For example, </w:t>
      </w:r>
      <w:r w:rsidR="00A26DB3" w:rsidRPr="000A3DA7">
        <w:rPr>
          <w:rFonts w:asciiTheme="minorHAnsi" w:hAnsiTheme="minorHAnsi" w:cstheme="minorHAnsi"/>
          <w:szCs w:val="22"/>
        </w:rPr>
        <w:t>healthy eating and obesity is covered in Food Technology and internet safety and cyber bullying is covered in ICT. Additionally, a number of the areas in both PSHE and SMSC are covered on the active curriculum, where pupils are encouraged to work collaboratively, try new experiences and engage in physical exercise</w:t>
      </w:r>
      <w:r w:rsidR="00F0400B" w:rsidRPr="000A3DA7">
        <w:rPr>
          <w:rFonts w:asciiTheme="minorHAnsi" w:hAnsiTheme="minorHAnsi" w:cstheme="minorHAnsi"/>
          <w:szCs w:val="22"/>
        </w:rPr>
        <w:t>.</w:t>
      </w:r>
      <w:r w:rsidR="00A26DB3" w:rsidRPr="000A3DA7">
        <w:rPr>
          <w:rFonts w:asciiTheme="minorHAnsi" w:hAnsiTheme="minorHAnsi" w:cstheme="minorHAnsi"/>
          <w:szCs w:val="22"/>
        </w:rPr>
        <w:t xml:space="preserve"> </w:t>
      </w:r>
    </w:p>
    <w:p w14:paraId="0A974EEB" w14:textId="0374961A" w:rsidR="00C43BDE" w:rsidRPr="000A3DA7" w:rsidRDefault="00A26DB3" w:rsidP="007D46F3">
      <w:pPr>
        <w:pStyle w:val="Default"/>
        <w:spacing w:after="200"/>
        <w:rPr>
          <w:rFonts w:asciiTheme="minorHAnsi" w:hAnsiTheme="minorHAnsi" w:cstheme="minorHAnsi"/>
          <w:szCs w:val="22"/>
        </w:rPr>
      </w:pPr>
      <w:r w:rsidRPr="000A3DA7">
        <w:rPr>
          <w:rFonts w:asciiTheme="minorHAnsi" w:hAnsiTheme="minorHAnsi" w:cstheme="minorHAnsi"/>
          <w:szCs w:val="22"/>
        </w:rPr>
        <w:t>As ratios of staff are much higher compared to mainstream school</w:t>
      </w:r>
      <w:r w:rsidR="00F0400B" w:rsidRPr="000A3DA7">
        <w:rPr>
          <w:rFonts w:asciiTheme="minorHAnsi" w:hAnsiTheme="minorHAnsi" w:cstheme="minorHAnsi"/>
          <w:szCs w:val="22"/>
        </w:rPr>
        <w:t xml:space="preserve">; </w:t>
      </w:r>
      <w:r w:rsidRPr="000A3DA7">
        <w:rPr>
          <w:rFonts w:asciiTheme="minorHAnsi" w:hAnsiTheme="minorHAnsi" w:cstheme="minorHAnsi"/>
          <w:szCs w:val="22"/>
        </w:rPr>
        <w:t>teachers and other staff members are able to challenge and address key areas on a one to one basis when issues arise in the school day.</w:t>
      </w:r>
    </w:p>
    <w:p w14:paraId="2C0B5E4D" w14:textId="050DCF48" w:rsidR="009D5C8D" w:rsidRPr="000A3DA7" w:rsidRDefault="006A3AD0" w:rsidP="007D46F3">
      <w:pPr>
        <w:pStyle w:val="Default"/>
        <w:spacing w:after="200"/>
        <w:rPr>
          <w:rFonts w:asciiTheme="minorHAnsi" w:hAnsiTheme="minorHAnsi" w:cstheme="minorHAnsi"/>
          <w:szCs w:val="22"/>
        </w:rPr>
      </w:pPr>
      <w:r w:rsidRPr="000A3DA7">
        <w:rPr>
          <w:rFonts w:asciiTheme="minorHAnsi" w:hAnsiTheme="minorHAnsi" w:cstheme="minorHAnsi"/>
          <w:szCs w:val="22"/>
        </w:rPr>
        <w:t>Through these lessons</w:t>
      </w:r>
      <w:r w:rsidR="007D46F3" w:rsidRPr="000A3DA7">
        <w:rPr>
          <w:rFonts w:asciiTheme="minorHAnsi" w:hAnsiTheme="minorHAnsi" w:cstheme="minorHAnsi"/>
          <w:szCs w:val="22"/>
        </w:rPr>
        <w:t xml:space="preserve"> and the other ways these areas are promoted</w:t>
      </w:r>
      <w:r w:rsidRPr="000A3DA7">
        <w:rPr>
          <w:rFonts w:asciiTheme="minorHAnsi" w:hAnsiTheme="minorHAnsi" w:cstheme="minorHAnsi"/>
          <w:szCs w:val="22"/>
        </w:rPr>
        <w:t xml:space="preserve">, pupils are taught to </w:t>
      </w:r>
      <w:r w:rsidR="00F0400B" w:rsidRPr="000A3DA7">
        <w:rPr>
          <w:rFonts w:asciiTheme="minorHAnsi" w:hAnsiTheme="minorHAnsi" w:cstheme="minorHAnsi"/>
          <w:szCs w:val="22"/>
        </w:rPr>
        <w:t>recognise</w:t>
      </w:r>
      <w:r w:rsidRPr="000A3DA7">
        <w:rPr>
          <w:rFonts w:asciiTheme="minorHAnsi" w:hAnsiTheme="minorHAnsi" w:cstheme="minorHAnsi"/>
          <w:szCs w:val="22"/>
        </w:rPr>
        <w:t xml:space="preserve"> and manage risk, make safer choices and </w:t>
      </w:r>
      <w:r w:rsidR="008144B3" w:rsidRPr="000A3DA7">
        <w:rPr>
          <w:rFonts w:asciiTheme="minorHAnsi" w:hAnsiTheme="minorHAnsi" w:cstheme="minorHAnsi"/>
          <w:szCs w:val="22"/>
        </w:rPr>
        <w:t>recognise</w:t>
      </w:r>
      <w:r w:rsidRPr="000A3DA7">
        <w:rPr>
          <w:rFonts w:asciiTheme="minorHAnsi" w:hAnsiTheme="minorHAnsi" w:cstheme="minorHAnsi"/>
          <w:szCs w:val="22"/>
        </w:rPr>
        <w:t xml:space="preserve"> when pressure from others threatens their personal safety and wellbeing. They also develop effective ways of resisting pressures, including knowing when, where and how to get help. We encourage our pupils to develop resilience, determination, self-esteem and confidence.</w:t>
      </w:r>
    </w:p>
    <w:p w14:paraId="4320D694" w14:textId="130F3081" w:rsidR="007D46F3" w:rsidRPr="000A3DA7" w:rsidRDefault="007D46F3" w:rsidP="007D46F3">
      <w:pPr>
        <w:spacing w:line="240" w:lineRule="auto"/>
        <w:rPr>
          <w:rFonts w:cstheme="minorHAnsi"/>
          <w:sz w:val="24"/>
        </w:rPr>
      </w:pPr>
      <w:r w:rsidRPr="000A3DA7">
        <w:rPr>
          <w:rFonts w:cstheme="minorHAnsi"/>
          <w:sz w:val="24"/>
        </w:rPr>
        <w:t xml:space="preserve">Additionally, pupils are prepared for life beyond school, by helping them to make informed choices about the next stage of their education, employment, self-employment or training. </w:t>
      </w:r>
      <w:r w:rsidR="00C43BDE" w:rsidRPr="000A3DA7">
        <w:rPr>
          <w:rFonts w:cstheme="minorHAnsi"/>
          <w:sz w:val="24"/>
        </w:rPr>
        <w:t>Pupils are given the opportunity to go to College or work experience from year 10 in fields they would like to explore as future areas of study or work. As well as being supported in writing a curriculum vitae (CV), all pupils are offered the opportunity to meet with a careers advisor in year 11 to speak through options and requirements for the next year and beyond.</w:t>
      </w:r>
    </w:p>
    <w:p w14:paraId="15FB4E50" w14:textId="1D0889DC" w:rsidR="00D65F50" w:rsidRPr="000A3DA7" w:rsidRDefault="00D65F50" w:rsidP="007D46F3">
      <w:pPr>
        <w:spacing w:line="240" w:lineRule="auto"/>
        <w:rPr>
          <w:rFonts w:cstheme="minorHAnsi"/>
          <w:sz w:val="24"/>
          <w:highlight w:val="yellow"/>
        </w:rPr>
      </w:pPr>
      <w:r w:rsidRPr="000A3DA7">
        <w:rPr>
          <w:rFonts w:cstheme="minorHAnsi"/>
          <w:sz w:val="24"/>
        </w:rPr>
        <w:t xml:space="preserve">To conclude, there are a number of ways that pupils are taught PSHE and in which SMSC is encouraged. Primarily, this is through a broad and balanced curriculum in both KS3 and KS4 that covers the key topics highlighted in the PSHE Association’s Programme of Study. </w:t>
      </w:r>
      <w:r w:rsidR="00F0400B" w:rsidRPr="000A3DA7">
        <w:rPr>
          <w:rFonts w:cstheme="minorHAnsi"/>
          <w:sz w:val="24"/>
        </w:rPr>
        <w:t>Furthermore,</w:t>
      </w:r>
      <w:r w:rsidRPr="000A3DA7">
        <w:rPr>
          <w:rFonts w:cstheme="minorHAnsi"/>
          <w:sz w:val="24"/>
        </w:rPr>
        <w:t xml:space="preserve"> both these areas are also covered in a number of different ways both in Centre and on offsite active sessions.</w:t>
      </w:r>
    </w:p>
    <w:sectPr w:rsidR="00D65F50" w:rsidRPr="000A3DA7" w:rsidSect="00742DD8">
      <w:footerReference w:type="default" r:id="rId9"/>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6809E" w14:textId="77777777" w:rsidR="008144B3" w:rsidRDefault="008144B3" w:rsidP="00BF6967">
      <w:pPr>
        <w:spacing w:after="0" w:line="240" w:lineRule="auto"/>
      </w:pPr>
      <w:r>
        <w:separator/>
      </w:r>
    </w:p>
  </w:endnote>
  <w:endnote w:type="continuationSeparator" w:id="0">
    <w:p w14:paraId="7F3E5642" w14:textId="77777777" w:rsidR="008144B3" w:rsidRDefault="008144B3" w:rsidP="00BF6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8144B3" w14:paraId="0922534A" w14:textId="77777777" w:rsidTr="008144B3">
      <w:tc>
        <w:tcPr>
          <w:tcW w:w="6379" w:type="dxa"/>
          <w:shd w:val="clear" w:color="auto" w:fill="auto"/>
        </w:tcPr>
        <w:p w14:paraId="01D5716A" w14:textId="77777777" w:rsidR="008144B3" w:rsidRPr="00A62B49" w:rsidRDefault="008144B3" w:rsidP="00BF6967">
          <w:pPr>
            <w:shd w:val="clear" w:color="auto" w:fill="FFFFFF"/>
            <w:textAlignment w:val="baseline"/>
            <w:rPr>
              <w:rFonts w:eastAsia="Times New Roman" w:cs="Arial"/>
              <w:color w:val="808080"/>
              <w:sz w:val="16"/>
              <w:szCs w:val="16"/>
            </w:rPr>
          </w:pPr>
          <w:r>
            <w:rPr>
              <w:rFonts w:eastAsia="Times New Roman" w:cs="Arial"/>
              <w:color w:val="808080"/>
              <w:sz w:val="16"/>
              <w:szCs w:val="16"/>
              <w:bdr w:val="none" w:sz="0" w:space="0" w:color="auto" w:frame="1"/>
            </w:rPr>
            <w:t xml:space="preserve">The Bridge Education Centre                                                                          </w:t>
          </w:r>
        </w:p>
      </w:tc>
      <w:tc>
        <w:tcPr>
          <w:tcW w:w="3402" w:type="dxa"/>
        </w:tcPr>
        <w:p w14:paraId="746CB32A" w14:textId="742CDBED" w:rsidR="008144B3" w:rsidRPr="00177722" w:rsidRDefault="008144B3" w:rsidP="00BF6967">
          <w:pPr>
            <w:shd w:val="clear" w:color="auto" w:fill="FFFFFF"/>
            <w:textAlignment w:val="baseline"/>
            <w:rPr>
              <w:rFonts w:eastAsia="Times New Roman" w:cs="Arial"/>
              <w:color w:val="BFBFBF"/>
              <w:sz w:val="17"/>
              <w:szCs w:val="17"/>
              <w:bdr w:val="none" w:sz="0" w:space="0" w:color="auto" w:frame="1"/>
            </w:rPr>
          </w:pPr>
          <w:r>
            <w:rPr>
              <w:rFonts w:eastAsia="Times New Roman" w:cs="Arial"/>
              <w:color w:val="808080"/>
              <w:sz w:val="16"/>
              <w:szCs w:val="16"/>
              <w:bdr w:val="none" w:sz="0" w:space="0" w:color="auto" w:frame="1"/>
            </w:rPr>
            <w:t xml:space="preserve">                                                      PSHE and SMSC Policy</w:t>
          </w:r>
        </w:p>
      </w:tc>
    </w:tr>
  </w:tbl>
  <w:p w14:paraId="04E20033" w14:textId="0B3DDDD5" w:rsidR="008144B3" w:rsidRPr="00512916" w:rsidRDefault="008144B3" w:rsidP="00BF6967">
    <w:pPr>
      <w:pStyle w:val="Footer"/>
      <w:rPr>
        <w:noProof/>
      </w:rPr>
    </w:pPr>
    <w:r w:rsidRPr="00874C73">
      <w:t>Page</w:t>
    </w:r>
    <w:r w:rsidRPr="00874C73">
      <w:rPr>
        <w:b/>
      </w:rPr>
      <w:t xml:space="preserve"> </w:t>
    </w:r>
    <w:r w:rsidRPr="00887DB6">
      <w:rPr>
        <w:b/>
        <w:color w:val="FF1F64"/>
      </w:rPr>
      <w:t>|</w:t>
    </w:r>
    <w:r>
      <w:t xml:space="preserve"> </w:t>
    </w:r>
    <w:r w:rsidRPr="00874C73">
      <w:fldChar w:fldCharType="begin"/>
    </w:r>
    <w:r w:rsidRPr="00874C73">
      <w:instrText xml:space="preserve"> PAGE   \* MERGEFORMAT </w:instrText>
    </w:r>
    <w:r w:rsidRPr="00874C73">
      <w:fldChar w:fldCharType="separate"/>
    </w:r>
    <w:r>
      <w:rPr>
        <w:noProof/>
      </w:rPr>
      <w:t>3</w:t>
    </w:r>
    <w:r w:rsidRPr="00874C73">
      <w:rPr>
        <w:noProof/>
      </w:rPr>
      <w:fldChar w:fldCharType="end"/>
    </w:r>
  </w:p>
  <w:p w14:paraId="7AB8A860" w14:textId="77777777" w:rsidR="008144B3" w:rsidRDefault="008144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2CF41" w14:textId="77777777" w:rsidR="008144B3" w:rsidRDefault="008144B3" w:rsidP="00BF6967">
      <w:pPr>
        <w:spacing w:after="0" w:line="240" w:lineRule="auto"/>
      </w:pPr>
      <w:r>
        <w:separator/>
      </w:r>
    </w:p>
  </w:footnote>
  <w:footnote w:type="continuationSeparator" w:id="0">
    <w:p w14:paraId="1311FE0B" w14:textId="77777777" w:rsidR="008144B3" w:rsidRDefault="008144B3" w:rsidP="00BF69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C34E0"/>
    <w:multiLevelType w:val="hybridMultilevel"/>
    <w:tmpl w:val="7BE0D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796F44"/>
    <w:multiLevelType w:val="hybridMultilevel"/>
    <w:tmpl w:val="960E0F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9CB441B"/>
    <w:multiLevelType w:val="hybridMultilevel"/>
    <w:tmpl w:val="E14A7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2B1E99"/>
    <w:multiLevelType w:val="hybridMultilevel"/>
    <w:tmpl w:val="2E76B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C93C20"/>
    <w:multiLevelType w:val="hybridMultilevel"/>
    <w:tmpl w:val="BD200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C8D"/>
    <w:rsid w:val="00001094"/>
    <w:rsid w:val="000A3DA7"/>
    <w:rsid w:val="00125F24"/>
    <w:rsid w:val="00313721"/>
    <w:rsid w:val="003F19C0"/>
    <w:rsid w:val="00441A51"/>
    <w:rsid w:val="0045540E"/>
    <w:rsid w:val="00482B6C"/>
    <w:rsid w:val="004A6AA9"/>
    <w:rsid w:val="004F1E14"/>
    <w:rsid w:val="005601B4"/>
    <w:rsid w:val="006A3AD0"/>
    <w:rsid w:val="006E504E"/>
    <w:rsid w:val="00742DD8"/>
    <w:rsid w:val="007A278A"/>
    <w:rsid w:val="007A414B"/>
    <w:rsid w:val="007D46F3"/>
    <w:rsid w:val="008144B3"/>
    <w:rsid w:val="00863FF7"/>
    <w:rsid w:val="00893A18"/>
    <w:rsid w:val="009153C1"/>
    <w:rsid w:val="00934084"/>
    <w:rsid w:val="009A2837"/>
    <w:rsid w:val="009D5C8D"/>
    <w:rsid w:val="00A16139"/>
    <w:rsid w:val="00A20855"/>
    <w:rsid w:val="00A26DB3"/>
    <w:rsid w:val="00BB5034"/>
    <w:rsid w:val="00BD42E9"/>
    <w:rsid w:val="00BF6967"/>
    <w:rsid w:val="00C21EC8"/>
    <w:rsid w:val="00C43BDE"/>
    <w:rsid w:val="00CE78BB"/>
    <w:rsid w:val="00D65F50"/>
    <w:rsid w:val="00DB11CA"/>
    <w:rsid w:val="00EF133D"/>
    <w:rsid w:val="00F0400B"/>
    <w:rsid w:val="00FC728C"/>
    <w:rsid w:val="00FE1D6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4DD317C"/>
  <w15:docId w15:val="{70BF17F9-FAA1-4607-8005-7EB4BCC00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5C8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153C1"/>
    <w:pPr>
      <w:ind w:left="720"/>
      <w:contextualSpacing/>
    </w:pPr>
  </w:style>
  <w:style w:type="paragraph" w:styleId="BalloonText">
    <w:name w:val="Balloon Text"/>
    <w:basedOn w:val="Normal"/>
    <w:link w:val="BalloonTextChar"/>
    <w:uiPriority w:val="99"/>
    <w:semiHidden/>
    <w:unhideWhenUsed/>
    <w:rsid w:val="00A208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855"/>
    <w:rPr>
      <w:rFonts w:ascii="Segoe UI" w:hAnsi="Segoe UI" w:cs="Segoe UI"/>
      <w:sz w:val="18"/>
      <w:szCs w:val="18"/>
    </w:rPr>
  </w:style>
  <w:style w:type="paragraph" w:customStyle="1" w:styleId="1bodycopy10pt">
    <w:name w:val="1 body copy 10pt"/>
    <w:basedOn w:val="Normal"/>
    <w:link w:val="1bodycopy10ptChar"/>
    <w:qFormat/>
    <w:rsid w:val="00BF6967"/>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BF6967"/>
    <w:rPr>
      <w:rFonts w:ascii="Arial" w:eastAsia="MS Mincho" w:hAnsi="Arial" w:cs="Times New Roman"/>
      <w:sz w:val="20"/>
      <w:szCs w:val="24"/>
      <w:lang w:val="en-US"/>
    </w:rPr>
  </w:style>
  <w:style w:type="paragraph" w:customStyle="1" w:styleId="1bodycopy11pt">
    <w:name w:val="1 body copy 11pt"/>
    <w:autoRedefine/>
    <w:rsid w:val="00BF6967"/>
    <w:pPr>
      <w:spacing w:after="120" w:line="240" w:lineRule="auto"/>
      <w:ind w:right="850"/>
    </w:pPr>
    <w:rPr>
      <w:rFonts w:ascii="Arial" w:eastAsia="MS Mincho" w:hAnsi="Arial" w:cs="Arial"/>
      <w:szCs w:val="24"/>
      <w:lang w:val="en-US"/>
    </w:rPr>
  </w:style>
  <w:style w:type="paragraph" w:customStyle="1" w:styleId="3Policytitle">
    <w:name w:val="3 Policy title"/>
    <w:basedOn w:val="Normal"/>
    <w:qFormat/>
    <w:rsid w:val="00BF6967"/>
    <w:pPr>
      <w:spacing w:after="120" w:line="240" w:lineRule="auto"/>
    </w:pPr>
    <w:rPr>
      <w:rFonts w:ascii="Arial" w:eastAsia="MS Mincho" w:hAnsi="Arial" w:cs="Times New Roman"/>
      <w:b/>
      <w:sz w:val="72"/>
      <w:szCs w:val="24"/>
      <w:lang w:val="en-US"/>
    </w:rPr>
  </w:style>
  <w:style w:type="paragraph" w:styleId="Header">
    <w:name w:val="header"/>
    <w:basedOn w:val="Normal"/>
    <w:link w:val="HeaderChar"/>
    <w:uiPriority w:val="99"/>
    <w:unhideWhenUsed/>
    <w:rsid w:val="00BF69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967"/>
  </w:style>
  <w:style w:type="paragraph" w:styleId="Footer">
    <w:name w:val="footer"/>
    <w:basedOn w:val="Normal"/>
    <w:link w:val="FooterChar"/>
    <w:uiPriority w:val="99"/>
    <w:unhideWhenUsed/>
    <w:rsid w:val="00BF69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6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472415">
      <w:bodyDiv w:val="1"/>
      <w:marLeft w:val="0"/>
      <w:marRight w:val="0"/>
      <w:marTop w:val="0"/>
      <w:marBottom w:val="0"/>
      <w:divBdr>
        <w:top w:val="none" w:sz="0" w:space="0" w:color="auto"/>
        <w:left w:val="none" w:sz="0" w:space="0" w:color="auto"/>
        <w:bottom w:val="none" w:sz="0" w:space="0" w:color="auto"/>
        <w:right w:val="none" w:sz="0" w:space="0" w:color="auto"/>
      </w:divBdr>
      <w:divsChild>
        <w:div w:id="958954182">
          <w:marLeft w:val="0"/>
          <w:marRight w:val="0"/>
          <w:marTop w:val="0"/>
          <w:marBottom w:val="0"/>
          <w:divBdr>
            <w:top w:val="none" w:sz="0" w:space="0" w:color="auto"/>
            <w:left w:val="none" w:sz="0" w:space="0" w:color="auto"/>
            <w:bottom w:val="none" w:sz="0" w:space="0" w:color="auto"/>
            <w:right w:val="none" w:sz="0" w:space="0" w:color="auto"/>
          </w:divBdr>
          <w:divsChild>
            <w:div w:id="1190684917">
              <w:marLeft w:val="0"/>
              <w:marRight w:val="0"/>
              <w:marTop w:val="0"/>
              <w:marBottom w:val="0"/>
              <w:divBdr>
                <w:top w:val="none" w:sz="0" w:space="0" w:color="auto"/>
                <w:left w:val="none" w:sz="0" w:space="0" w:color="auto"/>
                <w:bottom w:val="none" w:sz="0" w:space="0" w:color="auto"/>
                <w:right w:val="none" w:sz="0" w:space="0" w:color="auto"/>
              </w:divBdr>
              <w:divsChild>
                <w:div w:id="15495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000924">
      <w:bodyDiv w:val="1"/>
      <w:marLeft w:val="0"/>
      <w:marRight w:val="0"/>
      <w:marTop w:val="0"/>
      <w:marBottom w:val="0"/>
      <w:divBdr>
        <w:top w:val="none" w:sz="0" w:space="0" w:color="auto"/>
        <w:left w:val="none" w:sz="0" w:space="0" w:color="auto"/>
        <w:bottom w:val="none" w:sz="0" w:space="0" w:color="auto"/>
        <w:right w:val="none" w:sz="0" w:space="0" w:color="auto"/>
      </w:divBdr>
      <w:divsChild>
        <w:div w:id="1094126666">
          <w:marLeft w:val="0"/>
          <w:marRight w:val="0"/>
          <w:marTop w:val="0"/>
          <w:marBottom w:val="0"/>
          <w:divBdr>
            <w:top w:val="none" w:sz="0" w:space="0" w:color="auto"/>
            <w:left w:val="none" w:sz="0" w:space="0" w:color="auto"/>
            <w:bottom w:val="none" w:sz="0" w:space="0" w:color="auto"/>
            <w:right w:val="none" w:sz="0" w:space="0" w:color="auto"/>
          </w:divBdr>
          <w:divsChild>
            <w:div w:id="884491240">
              <w:marLeft w:val="0"/>
              <w:marRight w:val="0"/>
              <w:marTop w:val="0"/>
              <w:marBottom w:val="0"/>
              <w:divBdr>
                <w:top w:val="none" w:sz="0" w:space="0" w:color="auto"/>
                <w:left w:val="none" w:sz="0" w:space="0" w:color="auto"/>
                <w:bottom w:val="none" w:sz="0" w:space="0" w:color="auto"/>
                <w:right w:val="none" w:sz="0" w:space="0" w:color="auto"/>
              </w:divBdr>
              <w:divsChild>
                <w:div w:id="26878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580">
      <w:bodyDiv w:val="1"/>
      <w:marLeft w:val="0"/>
      <w:marRight w:val="0"/>
      <w:marTop w:val="0"/>
      <w:marBottom w:val="0"/>
      <w:divBdr>
        <w:top w:val="none" w:sz="0" w:space="0" w:color="auto"/>
        <w:left w:val="none" w:sz="0" w:space="0" w:color="auto"/>
        <w:bottom w:val="none" w:sz="0" w:space="0" w:color="auto"/>
        <w:right w:val="none" w:sz="0" w:space="0" w:color="auto"/>
      </w:divBdr>
      <w:divsChild>
        <w:div w:id="1219435081">
          <w:marLeft w:val="0"/>
          <w:marRight w:val="0"/>
          <w:marTop w:val="0"/>
          <w:marBottom w:val="0"/>
          <w:divBdr>
            <w:top w:val="none" w:sz="0" w:space="0" w:color="auto"/>
            <w:left w:val="none" w:sz="0" w:space="0" w:color="auto"/>
            <w:bottom w:val="none" w:sz="0" w:space="0" w:color="auto"/>
            <w:right w:val="none" w:sz="0" w:space="0" w:color="auto"/>
          </w:divBdr>
          <w:divsChild>
            <w:div w:id="121652240">
              <w:marLeft w:val="0"/>
              <w:marRight w:val="0"/>
              <w:marTop w:val="0"/>
              <w:marBottom w:val="0"/>
              <w:divBdr>
                <w:top w:val="none" w:sz="0" w:space="0" w:color="auto"/>
                <w:left w:val="none" w:sz="0" w:space="0" w:color="auto"/>
                <w:bottom w:val="none" w:sz="0" w:space="0" w:color="auto"/>
                <w:right w:val="none" w:sz="0" w:space="0" w:color="auto"/>
              </w:divBdr>
              <w:divsChild>
                <w:div w:id="8238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F55B3-9A70-4E03-A3CD-ED226A2F3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3</Pages>
  <Words>781</Words>
  <Characters>4456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HUser</dc:creator>
  <cp:lastModifiedBy>Mr S Belsey</cp:lastModifiedBy>
  <cp:revision>18</cp:revision>
  <cp:lastPrinted>2018-08-23T11:15:00Z</cp:lastPrinted>
  <dcterms:created xsi:type="dcterms:W3CDTF">2018-07-24T22:09:00Z</dcterms:created>
  <dcterms:modified xsi:type="dcterms:W3CDTF">2026-06-10T13:10:00Z</dcterms:modified>
</cp:coreProperties>
</file>